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240" w:rsidRDefault="00933792">
      <w:pPr>
        <w:pStyle w:val="Standard"/>
        <w:rPr>
          <w:rFonts w:ascii="Calibri" w:hAnsi="Calibri"/>
          <w:b/>
          <w:sz w:val="22"/>
          <w:szCs w:val="22"/>
        </w:rPr>
      </w:pPr>
      <w:r>
        <w:rPr>
          <w:rFonts w:ascii="Calibri" w:hAnsi="Calibri"/>
          <w:b/>
          <w:sz w:val="22"/>
          <w:szCs w:val="22"/>
        </w:rPr>
        <w:t>Sintesi della prima riunione del tavolo OP 4 Un'Europa più sociale</w:t>
      </w:r>
    </w:p>
    <w:p w:rsidR="00523240" w:rsidRDefault="00523240">
      <w:pPr>
        <w:pStyle w:val="Standard"/>
        <w:rPr>
          <w:rFonts w:ascii="Calibri" w:hAnsi="Calibri"/>
          <w:sz w:val="22"/>
          <w:szCs w:val="22"/>
        </w:rPr>
      </w:pPr>
    </w:p>
    <w:p w:rsidR="00523240" w:rsidRDefault="00933792">
      <w:pPr>
        <w:pStyle w:val="Standard"/>
      </w:pPr>
      <w:r>
        <w:rPr>
          <w:rFonts w:ascii="Calibri" w:hAnsi="Calibri"/>
          <w:sz w:val="22"/>
          <w:szCs w:val="22"/>
        </w:rPr>
        <w:t xml:space="preserve">Lo scorso 23 maggio si è svolto il primo incontro del tavolo partenariale che affronta l’Obiettivo di policy 4 Un'Europa più sociale (visibile all’indirizzo </w:t>
      </w:r>
      <w:hyperlink r:id="rId6" w:history="1">
        <w:proofErr w:type="gramStart"/>
        <w:r>
          <w:rPr>
            <w:rStyle w:val="Collegamentoipertestuale"/>
            <w:rFonts w:ascii="Calibri" w:hAnsi="Calibri"/>
            <w:sz w:val="22"/>
            <w:szCs w:val="22"/>
          </w:rPr>
          <w:t>https://www.youtube.com/watch?v=CiMq7T2wMrM</w:t>
        </w:r>
      </w:hyperlink>
      <w:r>
        <w:rPr>
          <w:rFonts w:ascii="Calibri" w:hAnsi="Calibri"/>
          <w:sz w:val="22"/>
          <w:szCs w:val="22"/>
        </w:rPr>
        <w:t xml:space="preserve"> )</w:t>
      </w:r>
      <w:proofErr w:type="gramEnd"/>
    </w:p>
    <w:p w:rsidR="00523240" w:rsidRDefault="00523240">
      <w:pPr>
        <w:pStyle w:val="Standard"/>
        <w:rPr>
          <w:rFonts w:ascii="Calibri" w:hAnsi="Calibri"/>
        </w:rPr>
      </w:pPr>
    </w:p>
    <w:p w:rsidR="00523240" w:rsidRDefault="00933792">
      <w:pPr>
        <w:pStyle w:val="Standard"/>
        <w:jc w:val="both"/>
        <w:rPr>
          <w:rFonts w:ascii="Calibri" w:hAnsi="Calibri"/>
          <w:sz w:val="22"/>
          <w:szCs w:val="22"/>
        </w:rPr>
      </w:pPr>
      <w:r>
        <w:rPr>
          <w:rFonts w:ascii="Calibri" w:hAnsi="Calibri"/>
          <w:sz w:val="22"/>
          <w:szCs w:val="22"/>
        </w:rPr>
        <w:t>Il tavolo vede il coordinamento di alcune amministrazioni centrali (</w:t>
      </w:r>
      <w:proofErr w:type="spellStart"/>
      <w:r>
        <w:rPr>
          <w:rFonts w:ascii="Calibri" w:hAnsi="Calibri"/>
          <w:sz w:val="22"/>
          <w:szCs w:val="22"/>
        </w:rPr>
        <w:t>Dp</w:t>
      </w:r>
      <w:proofErr w:type="spellEnd"/>
      <w:r>
        <w:rPr>
          <w:rFonts w:ascii="Calibri" w:hAnsi="Calibri"/>
          <w:sz w:val="22"/>
          <w:szCs w:val="22"/>
        </w:rPr>
        <w:t xml:space="preserve"> </w:t>
      </w:r>
      <w:proofErr w:type="spellStart"/>
      <w:r>
        <w:rPr>
          <w:rFonts w:ascii="Calibri" w:hAnsi="Calibri"/>
          <w:sz w:val="22"/>
          <w:szCs w:val="22"/>
        </w:rPr>
        <w:t>Coe</w:t>
      </w:r>
      <w:proofErr w:type="spellEnd"/>
      <w:r>
        <w:rPr>
          <w:rFonts w:ascii="Calibri" w:hAnsi="Calibri"/>
          <w:sz w:val="22"/>
          <w:szCs w:val="22"/>
        </w:rPr>
        <w:t xml:space="preserve">, </w:t>
      </w:r>
      <w:proofErr w:type="spellStart"/>
      <w:r>
        <w:rPr>
          <w:rFonts w:ascii="Calibri" w:hAnsi="Calibri"/>
          <w:sz w:val="22"/>
          <w:szCs w:val="22"/>
        </w:rPr>
        <w:t>Nuvap</w:t>
      </w:r>
      <w:proofErr w:type="spellEnd"/>
      <w:r>
        <w:rPr>
          <w:rFonts w:ascii="Calibri" w:hAnsi="Calibri"/>
          <w:sz w:val="22"/>
          <w:szCs w:val="22"/>
        </w:rPr>
        <w:t xml:space="preserve">, ACT, ANPAL, MIUR, ML DG Inclusione) e la partecipazione della Regione Toscana, coordinatrice tecnica del FSE e della Regione Siciliana. </w:t>
      </w:r>
    </w:p>
    <w:p w:rsidR="00523240" w:rsidRDefault="00523240">
      <w:pPr>
        <w:pStyle w:val="Standard"/>
        <w:jc w:val="both"/>
        <w:rPr>
          <w:rFonts w:ascii="Calibri" w:hAnsi="Calibri"/>
          <w:sz w:val="22"/>
          <w:szCs w:val="22"/>
        </w:rPr>
      </w:pPr>
    </w:p>
    <w:p w:rsidR="00523240" w:rsidRDefault="00933792">
      <w:pPr>
        <w:pStyle w:val="Standard"/>
        <w:jc w:val="both"/>
      </w:pPr>
      <w:r>
        <w:rPr>
          <w:rFonts w:ascii="Calibri" w:hAnsi="Calibri"/>
          <w:sz w:val="22"/>
          <w:szCs w:val="22"/>
        </w:rPr>
        <w:t xml:space="preserve">In apertura dei lavori, il NUVAP ha precisato l’obiettivo del lavoro facendo riferimento al documento sul </w:t>
      </w:r>
      <w:r>
        <w:rPr>
          <w:rFonts w:ascii="Calibri" w:hAnsi="Calibri"/>
          <w:i/>
          <w:sz w:val="22"/>
          <w:szCs w:val="22"/>
        </w:rPr>
        <w:t>mandato</w:t>
      </w:r>
      <w:r>
        <w:rPr>
          <w:rFonts w:ascii="Calibri" w:hAnsi="Calibri"/>
          <w:sz w:val="22"/>
          <w:szCs w:val="22"/>
        </w:rPr>
        <w:t xml:space="preserve"> dei tavoli, evidenziando come a questo OP concorrano a pieno titolo entrambi i fondi (FESR e FSE) con la prevalenza del FSE+, in coincidenza con gli obiettivi del Pilastro sociale. Sul piano del metodo, ha aggiunto l’opportunità di riflettere sulla continuità e discontinuità degli interventi anche alla luce dei contributi del partenariato e delle valutazioni disponibili ed ha ricordato come gli indicatori siano già definiti nei regolamenti di Fondo e possano essere usati per meglio definire gli interventi anche alla luce della novità per il FESR dell’adozione di indicatori di risultato diretto. </w:t>
      </w:r>
    </w:p>
    <w:p w:rsidR="00523240" w:rsidRDefault="00933792">
      <w:pPr>
        <w:pStyle w:val="Standard"/>
        <w:jc w:val="both"/>
      </w:pPr>
      <w:r>
        <w:rPr>
          <w:rFonts w:ascii="Calibri" w:hAnsi="Calibri"/>
          <w:sz w:val="22"/>
          <w:szCs w:val="22"/>
        </w:rPr>
        <w:t>E’ seguita una presentazione -svolta insieme ad ANPAL- sugli Obiettivi Specifici (FSE+ e FESR) e sulle priorità per l’Italia contenute nell’</w:t>
      </w:r>
      <w:r>
        <w:rPr>
          <w:rFonts w:ascii="Calibri" w:hAnsi="Calibri"/>
          <w:i/>
          <w:sz w:val="22"/>
          <w:szCs w:val="22"/>
        </w:rPr>
        <w:t xml:space="preserve">Annex D </w:t>
      </w:r>
      <w:r>
        <w:rPr>
          <w:rFonts w:ascii="Calibri" w:hAnsi="Calibri"/>
          <w:sz w:val="22"/>
          <w:szCs w:val="22"/>
        </w:rPr>
        <w:t xml:space="preserve">del </w:t>
      </w:r>
      <w:r>
        <w:rPr>
          <w:rFonts w:ascii="Calibri" w:hAnsi="Calibri"/>
          <w:i/>
          <w:sz w:val="22"/>
          <w:szCs w:val="22"/>
        </w:rPr>
        <w:t>Country report</w:t>
      </w:r>
      <w:r>
        <w:rPr>
          <w:rFonts w:ascii="Calibri" w:hAnsi="Calibri"/>
          <w:sz w:val="22"/>
          <w:szCs w:val="22"/>
        </w:rPr>
        <w:t xml:space="preserve"> Italia, distinta per i temi Occupazione, Inclusione, Istruzione, con alcune sottolineature quali il cambiamento nell'organizzazione delle priorità che, tuttavia risultano in piena continuità con l’attuale periodo. Con riguardo all’</w:t>
      </w:r>
      <w:r>
        <w:rPr>
          <w:rFonts w:ascii="Calibri" w:hAnsi="Calibri"/>
          <w:i/>
          <w:sz w:val="22"/>
          <w:szCs w:val="22"/>
        </w:rPr>
        <w:t xml:space="preserve">Annex D, </w:t>
      </w:r>
      <w:r>
        <w:rPr>
          <w:rFonts w:ascii="Calibri" w:hAnsi="Calibri"/>
          <w:sz w:val="22"/>
          <w:szCs w:val="22"/>
        </w:rPr>
        <w:t xml:space="preserve">è stato evidenziato che i target proposti sono quelli dell’attuale periodo, in modo più specifico rispetto al regolamento, e in alcuni casi è stato richiamato il divario territoriale; è stato fatto notare l’accento sulla formazione degli operatori della sanità ed è stato proposto di tenere in conto gli indicatori del </w:t>
      </w:r>
      <w:r>
        <w:rPr>
          <w:rFonts w:ascii="Calibri" w:hAnsi="Calibri"/>
          <w:i/>
          <w:sz w:val="22"/>
          <w:szCs w:val="22"/>
        </w:rPr>
        <w:t xml:space="preserve">Social </w:t>
      </w:r>
      <w:proofErr w:type="spellStart"/>
      <w:r>
        <w:rPr>
          <w:rFonts w:ascii="Calibri" w:hAnsi="Calibri"/>
          <w:i/>
          <w:sz w:val="22"/>
          <w:szCs w:val="22"/>
        </w:rPr>
        <w:t>scoreboard</w:t>
      </w:r>
      <w:proofErr w:type="spellEnd"/>
      <w:r>
        <w:rPr>
          <w:rFonts w:ascii="Calibri" w:hAnsi="Calibri"/>
          <w:sz w:val="22"/>
          <w:szCs w:val="22"/>
        </w:rPr>
        <w:t xml:space="preserve"> come riferimento per le scelte.</w:t>
      </w:r>
    </w:p>
    <w:p w:rsidR="00523240" w:rsidRDefault="00933792">
      <w:pPr>
        <w:pStyle w:val="Standard"/>
        <w:jc w:val="both"/>
        <w:rPr>
          <w:rFonts w:ascii="Calibri" w:hAnsi="Calibri"/>
          <w:sz w:val="22"/>
          <w:szCs w:val="22"/>
        </w:rPr>
      </w:pPr>
      <w:r>
        <w:rPr>
          <w:rFonts w:ascii="Calibri" w:hAnsi="Calibri"/>
          <w:sz w:val="22"/>
          <w:szCs w:val="22"/>
        </w:rPr>
        <w:t>E’ stato inoltre ricordato che l’art. 3 del Reg. FSE+ mantiene un riferimento al sostegno complementare agli SM e al valore aggiunto degli investimenti del Fondo.</w:t>
      </w:r>
    </w:p>
    <w:p w:rsidR="00523240" w:rsidRDefault="00933792">
      <w:pPr>
        <w:pStyle w:val="Standard"/>
        <w:jc w:val="both"/>
        <w:rPr>
          <w:rFonts w:ascii="Calibri" w:hAnsi="Calibri"/>
          <w:sz w:val="22"/>
          <w:szCs w:val="22"/>
        </w:rPr>
      </w:pPr>
      <w:r>
        <w:rPr>
          <w:rFonts w:ascii="Calibri" w:hAnsi="Calibri"/>
          <w:sz w:val="22"/>
          <w:szCs w:val="22"/>
        </w:rPr>
        <w:t>Al tavolo sono state poste alcune domande volte ad esemplificare in che modo i temi unificanti incrocino gli OS. Anche per le prossime riunioni, il coordinamento del tavolo si è proposto di abbozzare ulteriori domande (ad. es. sull’inclusione) e piste di riflessione.</w:t>
      </w:r>
    </w:p>
    <w:p w:rsidR="00523240" w:rsidRDefault="00523240">
      <w:pPr>
        <w:pStyle w:val="Standard"/>
        <w:jc w:val="both"/>
        <w:rPr>
          <w:rFonts w:ascii="Calibri" w:hAnsi="Calibri"/>
          <w:sz w:val="22"/>
          <w:szCs w:val="22"/>
        </w:rPr>
      </w:pPr>
    </w:p>
    <w:p w:rsidR="00523240" w:rsidRDefault="00933792">
      <w:pPr>
        <w:pStyle w:val="Standard"/>
        <w:jc w:val="both"/>
      </w:pPr>
      <w:r>
        <w:rPr>
          <w:rFonts w:ascii="Calibri" w:hAnsi="Calibri"/>
          <w:sz w:val="22"/>
          <w:szCs w:val="22"/>
        </w:rPr>
        <w:t xml:space="preserve">Da </w:t>
      </w:r>
      <w:r>
        <w:rPr>
          <w:rFonts w:ascii="Calibri" w:hAnsi="Calibri"/>
          <w:i/>
          <w:sz w:val="22"/>
          <w:szCs w:val="22"/>
        </w:rPr>
        <w:t>parte regionale</w:t>
      </w:r>
      <w:r>
        <w:rPr>
          <w:rFonts w:ascii="Calibri" w:hAnsi="Calibri"/>
          <w:sz w:val="22"/>
          <w:szCs w:val="22"/>
        </w:rPr>
        <w:t xml:space="preserve"> è stata evidenziata l’opportunità di condividere una analisi dell’attuazione ed esempi di intervento per capire come proseguire in continuità, approfondire cosa è finanziabile nel futuro e, soprattutto per quanto riguarda gli ambiti di sperimentazione, è stata suggerita cautela nell’inserire nell’AdP e nei Programmi ulteriori vincoli oltre quelli europei. </w:t>
      </w:r>
    </w:p>
    <w:p w:rsidR="00523240" w:rsidRDefault="00933792">
      <w:pPr>
        <w:pStyle w:val="Standard"/>
        <w:jc w:val="both"/>
        <w:rPr>
          <w:rFonts w:ascii="Calibri" w:hAnsi="Calibri"/>
          <w:sz w:val="22"/>
          <w:szCs w:val="22"/>
        </w:rPr>
      </w:pPr>
      <w:r>
        <w:rPr>
          <w:rFonts w:ascii="Calibri" w:hAnsi="Calibri"/>
          <w:sz w:val="22"/>
          <w:szCs w:val="22"/>
        </w:rPr>
        <w:t xml:space="preserve">Inoltre, è stata sottolineata l’importanza di mettere in valore le esperienze realizzate, di effettuare anche analisi qualitative degli interventi. E’ stato evidenziato il rischio di realizzare interventi che potrebbero o dovrebbero essere sostenuti dalle politiche ordinarie (es. servizi) e rimarcata l’opportunità di mantenere per il Fondo una vocazione all’innovazione, alla sperimentazione e agli interventi di qualità in particolare legati al lavoro, all’inclusione attiva, al rafforzamento della PA. E stata ricordata la profonda diversità dei territori che in molti contesti ha consentito di programmare ed attuare politiche in chiave di innovazione e auspicato un approccio flessibile in grado ad esempio di integrare FSE e FESR nel rispetto delle diverse scelte organizzative. E’ stato valutato criticamente l’aspetto del coordinamento fra i PON ed i POR, come oggi delineato e rimarcata l’opportunità che gli interventi nazionali si inseriscano nelle politiche territoriali, ricordando che le forme organizzative e di governance hanno notevole impatto sui risultati. </w:t>
      </w:r>
    </w:p>
    <w:p w:rsidR="00523240" w:rsidRDefault="00523240">
      <w:pPr>
        <w:pStyle w:val="Standard"/>
        <w:jc w:val="both"/>
        <w:rPr>
          <w:rFonts w:ascii="Calibri" w:hAnsi="Calibri"/>
          <w:sz w:val="22"/>
          <w:szCs w:val="22"/>
        </w:rPr>
      </w:pPr>
    </w:p>
    <w:p w:rsidR="00523240" w:rsidRDefault="00933792">
      <w:pPr>
        <w:pStyle w:val="Standard"/>
        <w:jc w:val="both"/>
        <w:rPr>
          <w:rFonts w:ascii="Calibri" w:hAnsi="Calibri"/>
          <w:sz w:val="22"/>
          <w:szCs w:val="22"/>
        </w:rPr>
      </w:pPr>
      <w:r>
        <w:rPr>
          <w:rFonts w:ascii="Calibri" w:hAnsi="Calibri"/>
          <w:sz w:val="22"/>
          <w:szCs w:val="22"/>
        </w:rPr>
        <w:t xml:space="preserve">Da </w:t>
      </w:r>
      <w:proofErr w:type="spellStart"/>
      <w:r>
        <w:rPr>
          <w:rFonts w:ascii="Calibri" w:hAnsi="Calibri"/>
          <w:sz w:val="22"/>
          <w:szCs w:val="22"/>
        </w:rPr>
        <w:t>Dp</w:t>
      </w:r>
      <w:proofErr w:type="spellEnd"/>
      <w:r>
        <w:rPr>
          <w:rFonts w:ascii="Calibri" w:hAnsi="Calibri"/>
          <w:sz w:val="22"/>
          <w:szCs w:val="22"/>
        </w:rPr>
        <w:t xml:space="preserve"> </w:t>
      </w:r>
      <w:proofErr w:type="spellStart"/>
      <w:r>
        <w:rPr>
          <w:rFonts w:ascii="Calibri" w:hAnsi="Calibri"/>
          <w:sz w:val="22"/>
          <w:szCs w:val="22"/>
        </w:rPr>
        <w:t>Coe</w:t>
      </w:r>
      <w:proofErr w:type="spellEnd"/>
      <w:r>
        <w:rPr>
          <w:rFonts w:ascii="Calibri" w:hAnsi="Calibri"/>
          <w:sz w:val="22"/>
          <w:szCs w:val="22"/>
        </w:rPr>
        <w:t xml:space="preserve"> e ACT, ribadendo l’importanza del valore aggiunto degli interventi delle politiche di coesione,  sono state evidenziate sia l’opportunità di elaborare una strategia attuativa che si basi sull'integrazione di fondi e strumenti come il FSC, sia di incanalare in continuità gli interventi, immaginando azioni e strumenti più efficaci per garantire integrazione fra fondi anche alla lu</w:t>
      </w:r>
      <w:bookmarkStart w:id="0" w:name="_GoBack"/>
      <w:bookmarkEnd w:id="0"/>
      <w:r>
        <w:rPr>
          <w:rFonts w:ascii="Calibri" w:hAnsi="Calibri"/>
          <w:sz w:val="22"/>
          <w:szCs w:val="22"/>
        </w:rPr>
        <w:t>ce di tempi di realizzazione diversi, valorizzando il lavoro fatto oggi sull’art. 65.6 per quanto attiene a interventi che provengono da fonti di finanziamento diverse. In quest’ottica si stanno elaborando mappature e analisi che verranno messe a diposizione. Dal responsabile delle aree interne è stata ricordata la difficoltà di avvio della programmazione, ma è stata richiamato il valore aggiunto delle strategie che potrebbe richiedere un intervento FSE per il futuro, nonostante la mancanza di riserva finanziaria sullo sviluppo locale.</w:t>
      </w:r>
    </w:p>
    <w:p w:rsidR="00523240" w:rsidRDefault="00523240">
      <w:pPr>
        <w:pStyle w:val="Standard"/>
        <w:jc w:val="both"/>
        <w:rPr>
          <w:rFonts w:ascii="Calibri" w:hAnsi="Calibri"/>
          <w:sz w:val="22"/>
          <w:szCs w:val="22"/>
        </w:rPr>
      </w:pPr>
    </w:p>
    <w:p w:rsidR="00523240" w:rsidRDefault="00933792">
      <w:pPr>
        <w:pStyle w:val="Standard"/>
        <w:jc w:val="both"/>
        <w:rPr>
          <w:rFonts w:ascii="Calibri" w:hAnsi="Calibri"/>
          <w:sz w:val="22"/>
          <w:szCs w:val="22"/>
        </w:rPr>
      </w:pPr>
      <w:r>
        <w:rPr>
          <w:rFonts w:ascii="Calibri" w:hAnsi="Calibri"/>
          <w:sz w:val="22"/>
          <w:szCs w:val="22"/>
        </w:rPr>
        <w:lastRenderedPageBreak/>
        <w:t>Nel dibattito seguito alle presentazioni da parte del Coordinamento del tavolo, con diversi accenti, sono venuti in rilievo alcuni temi, tra cui la conciliazione collegata all’attivazione delle donne e al contempo il rafforzamento di servizi anche essenziali, gli ITS (come elemento efficace di aggregazione fra sistema dell’istruzione formazione, le imprese ed i territorio) e gli incentivi automatici. Anche sulla capacità istituzionale è stata posta particolare attenzione.</w:t>
      </w:r>
    </w:p>
    <w:p w:rsidR="00523240" w:rsidRDefault="00523240">
      <w:pPr>
        <w:pStyle w:val="Standard"/>
        <w:jc w:val="both"/>
        <w:rPr>
          <w:rFonts w:ascii="Calibri" w:hAnsi="Calibri"/>
          <w:sz w:val="22"/>
          <w:szCs w:val="22"/>
        </w:rPr>
      </w:pPr>
    </w:p>
    <w:p w:rsidR="00523240" w:rsidRDefault="00933792">
      <w:pPr>
        <w:pStyle w:val="Standard"/>
        <w:jc w:val="both"/>
        <w:rPr>
          <w:rFonts w:ascii="Calibri" w:hAnsi="Calibri"/>
          <w:sz w:val="22"/>
          <w:szCs w:val="22"/>
        </w:rPr>
      </w:pPr>
      <w:r>
        <w:rPr>
          <w:rFonts w:ascii="Calibri" w:hAnsi="Calibri"/>
          <w:sz w:val="22"/>
          <w:szCs w:val="22"/>
        </w:rPr>
        <w:t>Dal versante del Terzo Settore e della Cooperazione è stato ricordato il ruolo dell’impresa sociale nell’attuale ciclo economico, rimarcando l’opportunità di una maggiore connessione fra ricerca istruzione innovazione e imprenditorialità sociale, anche in ottica di innovazione tecnologica.</w:t>
      </w:r>
    </w:p>
    <w:p w:rsidR="00523240" w:rsidRDefault="00933792">
      <w:pPr>
        <w:pStyle w:val="Standard"/>
        <w:jc w:val="both"/>
        <w:rPr>
          <w:rFonts w:ascii="Calibri" w:hAnsi="Calibri"/>
          <w:sz w:val="22"/>
          <w:szCs w:val="22"/>
        </w:rPr>
      </w:pPr>
      <w:r>
        <w:rPr>
          <w:rFonts w:ascii="Calibri" w:hAnsi="Calibri"/>
          <w:sz w:val="22"/>
          <w:szCs w:val="22"/>
        </w:rPr>
        <w:t xml:space="preserve">E’ stata suggerita una riflessione sul possibile sviluppo dell’ITS nel settore dell'economia sociale. E’ stato fatto presente il quadro istituzionale delle politiche socio sanitarie e sottolineata l’attenzione a tenere insieme entrambi gli aspetti. E’ stato proposto di promuovere gruppi di azione locale, welfare dal basso, con progettualità specifiche, quale meccanismo da regolamentare ma potenzialmente efficace anche per alleggerire i livelli istituzionali in difficoltà, nonché di valorizzare ulteriormente la </w:t>
      </w:r>
      <w:proofErr w:type="spellStart"/>
      <w:r>
        <w:rPr>
          <w:rFonts w:ascii="Calibri" w:hAnsi="Calibri"/>
          <w:sz w:val="22"/>
          <w:szCs w:val="22"/>
        </w:rPr>
        <w:t>coprogettazione</w:t>
      </w:r>
      <w:proofErr w:type="spellEnd"/>
      <w:r>
        <w:rPr>
          <w:rFonts w:ascii="Calibri" w:hAnsi="Calibri"/>
          <w:sz w:val="22"/>
          <w:szCs w:val="22"/>
        </w:rPr>
        <w:t xml:space="preserve">. Rispetto all’indicazione dell’annex D di investire sull’emersione del lavoro sommerso, è stata citata ad esempio la centralità del lavoro di cura svolto dalle badanti. </w:t>
      </w:r>
    </w:p>
    <w:p w:rsidR="00523240" w:rsidRDefault="00523240">
      <w:pPr>
        <w:pStyle w:val="Standard"/>
        <w:jc w:val="both"/>
        <w:rPr>
          <w:rFonts w:ascii="Calibri" w:hAnsi="Calibri"/>
          <w:sz w:val="22"/>
          <w:szCs w:val="22"/>
        </w:rPr>
      </w:pPr>
    </w:p>
    <w:p w:rsidR="00523240" w:rsidRDefault="00933792">
      <w:pPr>
        <w:pStyle w:val="Standard"/>
        <w:jc w:val="both"/>
        <w:rPr>
          <w:rFonts w:ascii="Calibri" w:hAnsi="Calibri"/>
          <w:sz w:val="22"/>
          <w:szCs w:val="22"/>
        </w:rPr>
      </w:pPr>
      <w:r>
        <w:rPr>
          <w:rFonts w:ascii="Calibri" w:hAnsi="Calibri"/>
          <w:sz w:val="22"/>
          <w:szCs w:val="22"/>
        </w:rPr>
        <w:t xml:space="preserve">Dalle AA.CC impegnate nel PON Governance sono stati ricordati da un lato le azioni di sistema in ottica di genere, con specifico accento sulla componente giovanile, sui servizi di transizione e di orientamento, per fronteggiare la segregazione nel mdl e nell'istruzione (Disponibilità DPO), dall’altro in tema di capacità amministrativa (DFP) gli ambiti di possibile declinazione ossia: il nuovo art.32 che permette un supporto di AT anche per i beneficiari e di filiera attuativa dei fondi; la capacità amministrativa come leva a supporto delle </w:t>
      </w:r>
      <w:proofErr w:type="spellStart"/>
      <w:r>
        <w:rPr>
          <w:rFonts w:ascii="Calibri" w:hAnsi="Calibri"/>
          <w:sz w:val="22"/>
          <w:szCs w:val="22"/>
        </w:rPr>
        <w:t>policies</w:t>
      </w:r>
      <w:proofErr w:type="spellEnd"/>
      <w:r>
        <w:rPr>
          <w:rFonts w:ascii="Calibri" w:hAnsi="Calibri"/>
          <w:sz w:val="22"/>
          <w:szCs w:val="22"/>
        </w:rPr>
        <w:t xml:space="preserve"> di settore (es. istruzione);  infine quella strutturale per tutte le amministrazioni.</w:t>
      </w:r>
    </w:p>
    <w:p w:rsidR="00523240" w:rsidRDefault="00523240">
      <w:pPr>
        <w:pStyle w:val="Standard"/>
        <w:jc w:val="both"/>
        <w:rPr>
          <w:rFonts w:ascii="Calibri" w:hAnsi="Calibri"/>
          <w:sz w:val="22"/>
          <w:szCs w:val="22"/>
        </w:rPr>
      </w:pPr>
    </w:p>
    <w:p w:rsidR="00523240" w:rsidRDefault="00933792">
      <w:pPr>
        <w:pStyle w:val="Standard"/>
        <w:jc w:val="both"/>
        <w:rPr>
          <w:rFonts w:ascii="Calibri" w:hAnsi="Calibri"/>
          <w:sz w:val="22"/>
          <w:szCs w:val="22"/>
        </w:rPr>
      </w:pPr>
      <w:r>
        <w:rPr>
          <w:rFonts w:ascii="Calibri" w:hAnsi="Calibri"/>
          <w:sz w:val="22"/>
          <w:szCs w:val="22"/>
        </w:rPr>
        <w:t xml:space="preserve">I sindacati hanno evidenziato l’importanza dell’accompagnamento ai processi di digitalizzazione, degli incentivi, del rafforzamento della PA con risorse adeguate per i livelli comunali, dell’offerta ITS collegata alla S3, della conciliazione vita lavoro attraverso la migliore organizzazione del lavoro, la necessità di interventi sull’infanzia nella fascia 0-12 anni, attraverso il potenziamento del tempo pieno, centri estivi, e il tema delle non autosufficienze. Sono stati valutati essenziali gli investimenti per il contrasto al </w:t>
      </w:r>
      <w:proofErr w:type="spellStart"/>
      <w:r>
        <w:rPr>
          <w:rFonts w:ascii="Calibri" w:hAnsi="Calibri"/>
          <w:sz w:val="22"/>
          <w:szCs w:val="22"/>
        </w:rPr>
        <w:t>drop</w:t>
      </w:r>
      <w:proofErr w:type="spellEnd"/>
      <w:r>
        <w:rPr>
          <w:rFonts w:ascii="Calibri" w:hAnsi="Calibri"/>
          <w:sz w:val="22"/>
          <w:szCs w:val="22"/>
        </w:rPr>
        <w:t xml:space="preserve"> out (tra cui l’orientamento scolastico e universitario), per l’innalzamento della partecipazione all’istruzione terziaria, ed è stato posto il problema, nel quadro del Rafforzamento SPI di misure e interventi aggiuntivi rispetto a quelli previsti dalla Legge di bilancio e dal </w:t>
      </w:r>
      <w:proofErr w:type="spellStart"/>
      <w:r>
        <w:rPr>
          <w:rFonts w:ascii="Calibri" w:hAnsi="Calibri"/>
          <w:sz w:val="22"/>
          <w:szCs w:val="22"/>
        </w:rPr>
        <w:t>RdC</w:t>
      </w:r>
      <w:proofErr w:type="spellEnd"/>
      <w:r>
        <w:rPr>
          <w:rFonts w:ascii="Calibri" w:hAnsi="Calibri"/>
          <w:sz w:val="22"/>
          <w:szCs w:val="22"/>
        </w:rPr>
        <w:t xml:space="preserve"> (FSE potrebbe dare un contributo aggiuntivo ad es. per la formazione degli operatori e l’informatizzazione degli uffici).</w:t>
      </w:r>
    </w:p>
    <w:p w:rsidR="00523240" w:rsidRDefault="00523240">
      <w:pPr>
        <w:pStyle w:val="Standard"/>
        <w:jc w:val="both"/>
        <w:rPr>
          <w:rFonts w:ascii="Calibri" w:hAnsi="Calibri"/>
          <w:sz w:val="22"/>
          <w:szCs w:val="22"/>
        </w:rPr>
      </w:pPr>
    </w:p>
    <w:p w:rsidR="00523240" w:rsidRDefault="00933792">
      <w:pPr>
        <w:pStyle w:val="Standard"/>
        <w:jc w:val="both"/>
        <w:rPr>
          <w:rFonts w:ascii="Calibri" w:hAnsi="Calibri"/>
          <w:sz w:val="22"/>
          <w:szCs w:val="22"/>
        </w:rPr>
      </w:pPr>
      <w:r>
        <w:rPr>
          <w:rFonts w:ascii="Calibri" w:hAnsi="Calibri"/>
          <w:sz w:val="22"/>
          <w:szCs w:val="22"/>
        </w:rPr>
        <w:t>Sul versante datoriale è stata rimarcata l’efficacia dell’ITS, e con riferimento agli incentivi automatici, alla luce del funzionamento semplice di quello per i NEET e del BONUS OCCUPAZIONE SUD, è stata richiesta una valutazione oggettiva sul funzionamento (Confindustria), con la richiesta di un approccio più strutturato, sono emerse suggestioni in tema di occupazione nella filiera agroalimentare, di fabbisogno di formazione nel settore artigianale e di trasferimento di competenze fra generazioni (Confartigianato), sul tema delle infrastrutture di servizio rilevati ambiti prioritari per l’edilizia per gli studenti e le RSA (ANCE)</w:t>
      </w:r>
    </w:p>
    <w:p w:rsidR="00523240" w:rsidRDefault="00523240">
      <w:pPr>
        <w:pStyle w:val="Standard"/>
        <w:jc w:val="both"/>
        <w:rPr>
          <w:rFonts w:ascii="Calibri" w:hAnsi="Calibri"/>
          <w:sz w:val="22"/>
          <w:szCs w:val="22"/>
        </w:rPr>
      </w:pPr>
    </w:p>
    <w:p w:rsidR="00523240" w:rsidRDefault="00933792">
      <w:pPr>
        <w:pStyle w:val="Standard"/>
        <w:jc w:val="both"/>
        <w:rPr>
          <w:rFonts w:ascii="Calibri" w:hAnsi="Calibri"/>
          <w:sz w:val="22"/>
          <w:szCs w:val="22"/>
        </w:rPr>
      </w:pPr>
      <w:r>
        <w:rPr>
          <w:rFonts w:ascii="Calibri" w:hAnsi="Calibri"/>
          <w:sz w:val="22"/>
          <w:szCs w:val="22"/>
        </w:rPr>
        <w:t xml:space="preserve">Infine sono stati dati alcuni spunti sulla messa in opera dei principi del Pilastro sociale (in proposito sarà inviato un contributo CNEL) e sull’importanza della valutazione (AIV). </w:t>
      </w:r>
    </w:p>
    <w:p w:rsidR="00523240" w:rsidRDefault="00523240">
      <w:pPr>
        <w:pStyle w:val="Standard"/>
        <w:jc w:val="both"/>
        <w:rPr>
          <w:rFonts w:ascii="Calibri" w:hAnsi="Calibri"/>
          <w:sz w:val="22"/>
          <w:szCs w:val="22"/>
        </w:rPr>
      </w:pPr>
    </w:p>
    <w:p w:rsidR="00523240" w:rsidRDefault="00933792">
      <w:pPr>
        <w:pStyle w:val="Standard"/>
        <w:jc w:val="both"/>
        <w:rPr>
          <w:rFonts w:ascii="Calibri" w:hAnsi="Calibri"/>
          <w:sz w:val="22"/>
          <w:szCs w:val="22"/>
        </w:rPr>
      </w:pPr>
      <w:r>
        <w:rPr>
          <w:rFonts w:ascii="Calibri" w:hAnsi="Calibri"/>
          <w:sz w:val="22"/>
          <w:szCs w:val="22"/>
        </w:rPr>
        <w:t xml:space="preserve">In conclusione è stato ribadito l’invito a trasmettere contributi in tempo utile (inclusa la ricognizione CT FSE sull’innovazione sociale), il coordinamento del tavolo restituirà riflessioni e ricadute sugli spunti emersi nella giornata e solleciterà un confronto sugli aspetti eventualmente non ancora affrontati. </w:t>
      </w:r>
    </w:p>
    <w:p w:rsidR="00523240" w:rsidRDefault="00933792">
      <w:pPr>
        <w:pStyle w:val="Standard"/>
        <w:jc w:val="both"/>
      </w:pPr>
      <w:r>
        <w:rPr>
          <w:rFonts w:ascii="Calibri" w:hAnsi="Calibri"/>
          <w:sz w:val="22"/>
          <w:szCs w:val="22"/>
        </w:rPr>
        <w:t>La prossima riunione del tavolo è fissata per il 13. 06.  2019</w:t>
      </w:r>
    </w:p>
    <w:sectPr w:rsidR="00523240">
      <w:footerReference w:type="default" r:id="rId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42E" w:rsidRDefault="006D042E">
      <w:r>
        <w:separator/>
      </w:r>
    </w:p>
  </w:endnote>
  <w:endnote w:type="continuationSeparator" w:id="0">
    <w:p w:rsidR="006D042E" w:rsidRDefault="006D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OpenSymbol">
    <w:charset w:val="00"/>
    <w:family w:val="auto"/>
    <w:pitch w:val="default"/>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okChampa">
    <w:panose1 w:val="020B0604020202020204"/>
    <w:charset w:val="00"/>
    <w:family w:val="swiss"/>
    <w:pitch w:val="variable"/>
    <w:sig w:usb0="03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E84" w:rsidRDefault="00933792">
    <w:pPr>
      <w:pStyle w:val="Pidipagina"/>
      <w:jc w:val="right"/>
    </w:pPr>
    <w:r>
      <w:fldChar w:fldCharType="begin"/>
    </w:r>
    <w:r>
      <w:instrText xml:space="preserve"> PAGE </w:instrText>
    </w:r>
    <w:r>
      <w:fldChar w:fldCharType="separate"/>
    </w:r>
    <w:r w:rsidR="008A2A07">
      <w:rPr>
        <w:noProof/>
      </w:rPr>
      <w:t>1</w:t>
    </w:r>
    <w:r>
      <w:fldChar w:fldCharType="end"/>
    </w:r>
  </w:p>
  <w:p w:rsidR="00386E84" w:rsidRDefault="006D042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42E" w:rsidRDefault="006D042E">
      <w:r>
        <w:rPr>
          <w:color w:val="000000"/>
        </w:rPr>
        <w:separator/>
      </w:r>
    </w:p>
  </w:footnote>
  <w:footnote w:type="continuationSeparator" w:id="0">
    <w:p w:rsidR="006D042E" w:rsidRDefault="006D04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240"/>
    <w:rsid w:val="00523240"/>
    <w:rsid w:val="005520C7"/>
    <w:rsid w:val="00592A6A"/>
    <w:rsid w:val="006D042E"/>
    <w:rsid w:val="008A2A07"/>
    <w:rsid w:val="00933792"/>
  </w:rsids>
  <m:mathPr>
    <m:mathFont m:val="Cambria Math"/>
    <m:brkBin m:val="before"/>
    <m:brkBinSub m:val="--"/>
    <m:smallFrac m:val="0"/>
    <m:dispDef/>
    <m:lMargin m:val="0"/>
    <m:rMargin m:val="0"/>
    <m:defJc m:val="centerGroup"/>
    <m:wrapIndent m:val="1440"/>
    <m:intLim m:val="subSup"/>
    <m:naryLim m:val="undOvr"/>
  </m:mathPr>
  <w:themeFontLang w:val="it-I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DB4C-6D33-43E6-BB82-DCE137AB5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styleId="Collegamentoipertestuale">
    <w:name w:val="Hyperlink"/>
    <w:basedOn w:val="Carpredefinitoparagrafo"/>
    <w:rPr>
      <w:color w:val="0563C1"/>
      <w:u w:val="single"/>
    </w:rPr>
  </w:style>
  <w:style w:type="paragraph" w:styleId="Intestazione">
    <w:name w:val="header"/>
    <w:basedOn w:val="Normale"/>
    <w:pPr>
      <w:tabs>
        <w:tab w:val="center" w:pos="4819"/>
        <w:tab w:val="right" w:pos="9638"/>
      </w:tabs>
    </w:pPr>
    <w:rPr>
      <w:rFonts w:cs="Mangal"/>
      <w:szCs w:val="21"/>
    </w:rPr>
  </w:style>
  <w:style w:type="character" w:customStyle="1" w:styleId="IntestazioneCarattere">
    <w:name w:val="Intestazione Carattere"/>
    <w:basedOn w:val="Carpredefinitoparagrafo"/>
    <w:rPr>
      <w:rFonts w:cs="Mangal"/>
      <w:szCs w:val="21"/>
    </w:rPr>
  </w:style>
  <w:style w:type="paragraph" w:styleId="Pidipagina">
    <w:name w:val="footer"/>
    <w:basedOn w:val="Normale"/>
    <w:pPr>
      <w:tabs>
        <w:tab w:val="center" w:pos="4819"/>
        <w:tab w:val="right" w:pos="9638"/>
      </w:tabs>
    </w:pPr>
    <w:rPr>
      <w:rFonts w:cs="Mangal"/>
      <w:szCs w:val="21"/>
    </w:rPr>
  </w:style>
  <w:style w:type="character" w:customStyle="1" w:styleId="PidipaginaCarattere">
    <w:name w:val="Piè di pagina Carattere"/>
    <w:basedOn w:val="Carpredefinitoparagrafo"/>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CiMq7T2wMr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1362</Words>
  <Characters>7766</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CASILLO</dc:creator>
  <cp:lastModifiedBy>Laura Frascarelli</cp:lastModifiedBy>
  <cp:revision>2</cp:revision>
  <dcterms:created xsi:type="dcterms:W3CDTF">2019-12-16T11:13:00Z</dcterms:created>
  <dcterms:modified xsi:type="dcterms:W3CDTF">2019-12-16T11:13:00Z</dcterms:modified>
</cp:coreProperties>
</file>